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0B" w:rsidRDefault="00F05B0B" w:rsidP="00F05B0B">
      <w:pPr>
        <w:spacing w:after="0"/>
        <w:jc w:val="both"/>
        <w:rPr>
          <w:rFonts w:ascii="Times New Roman" w:hAnsi="Times New Roman" w:cs="Times New Roman"/>
          <w:b/>
          <w:sz w:val="24"/>
          <w:szCs w:val="24"/>
        </w:rPr>
      </w:pPr>
      <w:bookmarkStart w:id="0" w:name="_GoBack"/>
      <w:bookmarkEnd w:id="0"/>
      <w:r w:rsidRPr="00F05B0B">
        <w:rPr>
          <w:rFonts w:ascii="Times New Roman" w:hAnsi="Times New Roman" w:cs="Times New Roman"/>
          <w:b/>
          <w:sz w:val="24"/>
          <w:szCs w:val="24"/>
        </w:rPr>
        <w:t>The Final Step in the Remarkable Journ</w:t>
      </w:r>
      <w:r w:rsidR="001E3800">
        <w:rPr>
          <w:rFonts w:ascii="Times New Roman" w:hAnsi="Times New Roman" w:cs="Times New Roman"/>
          <w:b/>
          <w:sz w:val="24"/>
          <w:szCs w:val="24"/>
        </w:rPr>
        <w:t>ey of the Isoperimetric Problem</w:t>
      </w:r>
      <w:r w:rsidRPr="00F05B0B">
        <w:rPr>
          <w:rFonts w:ascii="Times New Roman" w:hAnsi="Times New Roman" w:cs="Times New Roman"/>
          <w:b/>
          <w:sz w:val="24"/>
          <w:szCs w:val="24"/>
        </w:rPr>
        <w:t>: The Completion of Euler’s Approach</w:t>
      </w:r>
    </w:p>
    <w:p w:rsidR="00F05B0B" w:rsidRDefault="00F05B0B" w:rsidP="00F05B0B">
      <w:pPr>
        <w:spacing w:after="0"/>
        <w:jc w:val="both"/>
        <w:rPr>
          <w:rFonts w:ascii="Times New Roman" w:hAnsi="Times New Roman" w:cs="Times New Roman"/>
          <w:b/>
          <w:sz w:val="24"/>
          <w:szCs w:val="24"/>
        </w:rPr>
      </w:pPr>
    </w:p>
    <w:p w:rsidR="00F05B0B" w:rsidRPr="00F05B0B" w:rsidRDefault="00F05B0B" w:rsidP="00F05B0B">
      <w:pPr>
        <w:spacing w:after="0"/>
        <w:jc w:val="both"/>
        <w:rPr>
          <w:rFonts w:ascii="Times New Roman" w:hAnsi="Times New Roman" w:cs="Times New Roman"/>
          <w:b/>
          <w:color w:val="000000"/>
          <w:sz w:val="24"/>
          <w:szCs w:val="24"/>
          <w:shd w:val="clear" w:color="auto" w:fill="FFFFFF"/>
        </w:rPr>
      </w:pPr>
    </w:p>
    <w:p w:rsidR="00F05B0B" w:rsidRPr="00F05B0B" w:rsidRDefault="00F05B0B" w:rsidP="00F05B0B">
      <w:pPr>
        <w:spacing w:after="0"/>
        <w:jc w:val="both"/>
        <w:rPr>
          <w:rFonts w:ascii="Times New Roman" w:hAnsi="Times New Roman" w:cs="Times New Roman"/>
          <w:b/>
          <w:color w:val="000000"/>
          <w:sz w:val="24"/>
          <w:szCs w:val="24"/>
          <w:shd w:val="clear" w:color="auto" w:fill="FFFFFF"/>
        </w:rPr>
      </w:pPr>
      <w:r w:rsidRPr="00F05B0B">
        <w:rPr>
          <w:rFonts w:ascii="Times New Roman" w:hAnsi="Times New Roman" w:cs="Times New Roman"/>
          <w:b/>
          <w:color w:val="000000"/>
          <w:sz w:val="24"/>
          <w:szCs w:val="24"/>
          <w:shd w:val="clear" w:color="auto" w:fill="FFFFFF"/>
        </w:rPr>
        <w:t>Abstract:</w:t>
      </w:r>
    </w:p>
    <w:p w:rsidR="00CC4A3F" w:rsidRPr="00F05B0B" w:rsidRDefault="00F05B0B" w:rsidP="00F05B0B">
      <w:pPr>
        <w:spacing w:after="0"/>
        <w:jc w:val="both"/>
        <w:rPr>
          <w:rFonts w:ascii="Times New Roman" w:hAnsi="Times New Roman" w:cs="Times New Roman"/>
          <w:sz w:val="24"/>
          <w:szCs w:val="24"/>
        </w:rPr>
      </w:pPr>
      <w:r w:rsidRPr="00F05B0B">
        <w:rPr>
          <w:rFonts w:ascii="Times New Roman" w:hAnsi="Times New Roman" w:cs="Times New Roman"/>
          <w:color w:val="000000"/>
          <w:sz w:val="24"/>
          <w:szCs w:val="24"/>
          <w:shd w:val="clear" w:color="auto" w:fill="FFFFFF"/>
        </w:rPr>
        <w:t xml:space="preserve">In this presentation we give a brief overview of the remarkable life of the impactful isoperimetric problem. We identify three distinct classes of solution approaches that have been used throughout history: the Cartesian coordinate representation approach of Euler, the synthetic geometry approach of Steiner, and the parametric representation approach of </w:t>
      </w:r>
      <w:proofErr w:type="spellStart"/>
      <w:r w:rsidRPr="00F05B0B">
        <w:rPr>
          <w:rFonts w:ascii="Times New Roman" w:hAnsi="Times New Roman" w:cs="Times New Roman"/>
          <w:color w:val="000000"/>
          <w:sz w:val="24"/>
          <w:szCs w:val="24"/>
          <w:shd w:val="clear" w:color="auto" w:fill="FFFFFF"/>
        </w:rPr>
        <w:t>Weierstrass</w:t>
      </w:r>
      <w:proofErr w:type="spellEnd"/>
      <w:r w:rsidRPr="00F05B0B">
        <w:rPr>
          <w:rFonts w:ascii="Times New Roman" w:hAnsi="Times New Roman" w:cs="Times New Roman"/>
          <w:color w:val="000000"/>
          <w:sz w:val="24"/>
          <w:szCs w:val="24"/>
          <w:shd w:val="clear" w:color="auto" w:fill="FFFFFF"/>
        </w:rPr>
        <w:t xml:space="preserve">. We say that one of our three classes of approaches has been completed when an appropriately short sufficiency proof for the isoperimetric problem has been constructed that belongs to this class of proofs. In a legendary work from 1744, Euler presented his contribution, establishing neither necessity nor sufficiency for this problem. This failure led Steiner in 1838 to propose his approach that gave only necessity and not sufficiency as he believed. The Steiner path was completed by Lawlor in 1998. Euler’s and Steiner’s failures led </w:t>
      </w:r>
      <w:proofErr w:type="spellStart"/>
      <w:r w:rsidRPr="00F05B0B">
        <w:rPr>
          <w:rFonts w:ascii="Times New Roman" w:hAnsi="Times New Roman" w:cs="Times New Roman"/>
          <w:color w:val="000000"/>
          <w:sz w:val="24"/>
          <w:szCs w:val="24"/>
          <w:shd w:val="clear" w:color="auto" w:fill="FFFFFF"/>
        </w:rPr>
        <w:t>Weierstrass</w:t>
      </w:r>
      <w:proofErr w:type="spellEnd"/>
      <w:r w:rsidRPr="00F05B0B">
        <w:rPr>
          <w:rFonts w:ascii="Times New Roman" w:hAnsi="Times New Roman" w:cs="Times New Roman"/>
          <w:color w:val="000000"/>
          <w:sz w:val="24"/>
          <w:szCs w:val="24"/>
          <w:shd w:val="clear" w:color="auto" w:fill="FFFFFF"/>
        </w:rPr>
        <w:t xml:space="preserve"> in 1879 to propose his approach, which did indeed lead to sufficiency but required a somewhat elaborate theory. The </w:t>
      </w:r>
      <w:proofErr w:type="spellStart"/>
      <w:r w:rsidRPr="00F05B0B">
        <w:rPr>
          <w:rFonts w:ascii="Times New Roman" w:hAnsi="Times New Roman" w:cs="Times New Roman"/>
          <w:color w:val="000000"/>
          <w:sz w:val="24"/>
          <w:szCs w:val="24"/>
          <w:shd w:val="clear" w:color="auto" w:fill="FFFFFF"/>
        </w:rPr>
        <w:t>Weierstrass</w:t>
      </w:r>
      <w:proofErr w:type="spellEnd"/>
      <w:r w:rsidRPr="00F05B0B">
        <w:rPr>
          <w:rFonts w:ascii="Times New Roman" w:hAnsi="Times New Roman" w:cs="Times New Roman"/>
          <w:color w:val="000000"/>
          <w:sz w:val="24"/>
          <w:szCs w:val="24"/>
          <w:shd w:val="clear" w:color="auto" w:fill="FFFFFF"/>
        </w:rPr>
        <w:t xml:space="preserve"> approach was completed in 1934 by Littlewood, Hardy, and </w:t>
      </w:r>
      <w:proofErr w:type="spellStart"/>
      <w:r w:rsidRPr="00F05B0B">
        <w:rPr>
          <w:rFonts w:ascii="Times New Roman" w:hAnsi="Times New Roman" w:cs="Times New Roman"/>
          <w:color w:val="000000"/>
          <w:sz w:val="24"/>
          <w:szCs w:val="24"/>
          <w:shd w:val="clear" w:color="auto" w:fill="FFFFFF"/>
        </w:rPr>
        <w:t>Polya</w:t>
      </w:r>
      <w:proofErr w:type="spellEnd"/>
      <w:r w:rsidRPr="00F05B0B">
        <w:rPr>
          <w:rFonts w:ascii="Times New Roman" w:hAnsi="Times New Roman" w:cs="Times New Roman"/>
          <w:color w:val="000000"/>
          <w:sz w:val="24"/>
          <w:szCs w:val="24"/>
          <w:shd w:val="clear" w:color="auto" w:fill="FFFFFF"/>
        </w:rPr>
        <w:t>. The major contribution in this presentation is our completion of Euler’s approach. Our proof uses elementary tools.</w:t>
      </w:r>
    </w:p>
    <w:sectPr w:rsidR="00CC4A3F" w:rsidRPr="00F0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0B"/>
    <w:rsid w:val="001D431F"/>
    <w:rsid w:val="001E3800"/>
    <w:rsid w:val="00350AA0"/>
    <w:rsid w:val="00CC4A3F"/>
    <w:rsid w:val="00F0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66B42-586A-47A6-992C-7815C092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Torres</dc:creator>
  <cp:lastModifiedBy>Addy, Tracie</cp:lastModifiedBy>
  <cp:revision>2</cp:revision>
  <dcterms:created xsi:type="dcterms:W3CDTF">2018-01-10T13:53:00Z</dcterms:created>
  <dcterms:modified xsi:type="dcterms:W3CDTF">2018-01-10T13:53:00Z</dcterms:modified>
</cp:coreProperties>
</file>